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55" w:rsidRDefault="00E04355" w:rsidP="00E04355">
      <w:pPr>
        <w:jc w:val="both"/>
        <w:rPr>
          <w:b/>
        </w:rPr>
      </w:pPr>
      <w:r w:rsidRPr="00E04355">
        <w:rPr>
          <w:b/>
        </w:rPr>
        <w:t>SOLICITUD DE REVISIÓN DE LIQUIDACIÓN POR NULIDAD DE PLENO DERECHO CON PETICIÓN SUBSIDIARIA DE REVOCACIÓN Y CONSECUENTE DEVOLUCIÓN DE INGRESOS INDEBIDOS E INTERESES</w:t>
      </w:r>
      <w:r>
        <w:rPr>
          <w:b/>
        </w:rPr>
        <w:t>.</w:t>
      </w:r>
    </w:p>
    <w:p w:rsidR="00E04355" w:rsidRPr="00E04355" w:rsidRDefault="00E04355" w:rsidP="00E04355">
      <w:pPr>
        <w:jc w:val="both"/>
        <w:rPr>
          <w:b/>
        </w:rPr>
      </w:pPr>
      <w:r w:rsidRPr="00E04355">
        <w:rPr>
          <w:b/>
        </w:rPr>
        <w:t xml:space="preserve"> AL AYUNTAMIENTO DE MADRID. AGENCIA TRIBUTARIA MADRID.</w:t>
      </w:r>
    </w:p>
    <w:p w:rsidR="00E04355" w:rsidRDefault="00E04355" w:rsidP="00766E46">
      <w:r w:rsidRPr="00E04355">
        <w:t>D./D.ª [NOMBRE Y APELLIDOS], mayor de edad, con DNI/NIF nº [NÚMERO DEL DNI], domicilio a efectos de notificaciones en [DIRECCION POSTAL] y correo electrónico [EMAIL], comparece y, como mejor proceda en Derecho,</w:t>
      </w:r>
    </w:p>
    <w:p w:rsidR="00E04355" w:rsidRPr="00E04355" w:rsidRDefault="00E04355" w:rsidP="00E04355">
      <w:pPr>
        <w:jc w:val="center"/>
        <w:rPr>
          <w:b/>
        </w:rPr>
      </w:pPr>
      <w:r w:rsidRPr="00E04355">
        <w:rPr>
          <w:b/>
        </w:rPr>
        <w:t>EXPONE</w:t>
      </w:r>
    </w:p>
    <w:p w:rsidR="00E04355" w:rsidRDefault="00E04355" w:rsidP="00766E46">
      <w:r w:rsidRPr="00E04355">
        <w:t>Que, por medio del presente escrito, formula SOLICITUD DE REVISIÓN DE ACTO TRIBUTARIO FIRME, interesando:</w:t>
      </w:r>
    </w:p>
    <w:p w:rsidR="00E04355" w:rsidRDefault="00E04355" w:rsidP="00E04355">
      <w:r>
        <w:t xml:space="preserve">I) </w:t>
      </w:r>
      <w:r w:rsidRPr="00E04355">
        <w:t>con carácter principal, la declaración de nulidad de pleno derecho de la liquidación que se dirá, al amparo del artículo 217 de la Ley 58/2003, de 17 de diciembre, General Tributaria;</w:t>
      </w:r>
    </w:p>
    <w:p w:rsidR="00E04355" w:rsidRDefault="00E04355" w:rsidP="00E04355">
      <w:r w:rsidRPr="00E04355">
        <w:t>II) subsidiariamente, la iniciación del procedimiento de revocación previsto en el artículo 219 de la misma Ley y en el artículo 87 de la Ordenanza Fiscal 13/2021, de 29 de diciembre, General de Gestión, Recaudación e Inspección del Ayuntamiento de Madrid y</w:t>
      </w:r>
    </w:p>
    <w:p w:rsidR="00E04355" w:rsidRDefault="00E04355" w:rsidP="00E04355">
      <w:r w:rsidRPr="00E04355">
        <w:t>III) en ambos casos, el reconocimiento del derecho a la devolución del ingreso indebido y al abono de los intereses de demora legalmente procedentes;</w:t>
      </w:r>
      <w:r>
        <w:t xml:space="preserve"> </w:t>
      </w:r>
      <w:r w:rsidRPr="00E04355">
        <w:t>todo ello en relación con la liquidación girada por la Tasa por prestación del servicio de gestión de residuos de competencia municipal, con base en los siguientes</w:t>
      </w:r>
    </w:p>
    <w:p w:rsidR="00E04355" w:rsidRPr="00E04355" w:rsidRDefault="00E04355" w:rsidP="00E04355">
      <w:pPr>
        <w:jc w:val="center"/>
        <w:rPr>
          <w:b/>
        </w:rPr>
      </w:pPr>
      <w:r w:rsidRPr="00E04355">
        <w:rPr>
          <w:b/>
        </w:rPr>
        <w:t>HECHOS</w:t>
      </w:r>
    </w:p>
    <w:p w:rsidR="00E04355" w:rsidRDefault="00E04355" w:rsidP="00E04355">
      <w:r w:rsidRPr="00BF087E">
        <w:rPr>
          <w:b/>
        </w:rPr>
        <w:t xml:space="preserve"> Primero</w:t>
      </w:r>
      <w:r w:rsidRPr="00E04355">
        <w:t>.- Al compareciente le fue notificada la siguiente liquidación tributaria:</w:t>
      </w:r>
    </w:p>
    <w:p w:rsidR="00E04355" w:rsidRDefault="00E04355" w:rsidP="00E04355">
      <w:pPr>
        <w:pStyle w:val="Prrafodelista"/>
        <w:numPr>
          <w:ilvl w:val="0"/>
          <w:numId w:val="19"/>
        </w:numPr>
      </w:pPr>
      <w:r w:rsidRPr="00E04355">
        <w:t>Concepto: Tasa por prestación del servicio de gestión de residuos de competencia municipal.</w:t>
      </w:r>
    </w:p>
    <w:p w:rsidR="00E04355" w:rsidRDefault="00E04355" w:rsidP="00E04355">
      <w:pPr>
        <w:pStyle w:val="Prrafodelista"/>
        <w:numPr>
          <w:ilvl w:val="0"/>
          <w:numId w:val="19"/>
        </w:numPr>
      </w:pPr>
      <w:r w:rsidRPr="00E04355">
        <w:t>Número de liquidación: [INTRODUCIR NÚMERO DE LIQUIDACIÓN].</w:t>
      </w:r>
    </w:p>
    <w:p w:rsidR="00E04355" w:rsidRDefault="00E04355" w:rsidP="00E04355">
      <w:pPr>
        <w:pStyle w:val="Prrafodelista"/>
        <w:numPr>
          <w:ilvl w:val="0"/>
          <w:numId w:val="19"/>
        </w:numPr>
      </w:pPr>
      <w:r w:rsidRPr="00E04355">
        <w:t>Ejercicio: 2025.</w:t>
      </w:r>
    </w:p>
    <w:p w:rsidR="00E04355" w:rsidRDefault="00E04355" w:rsidP="00E04355">
      <w:pPr>
        <w:pStyle w:val="Prrafodelista"/>
        <w:numPr>
          <w:ilvl w:val="0"/>
          <w:numId w:val="19"/>
        </w:numPr>
      </w:pPr>
      <w:r w:rsidRPr="00E04355">
        <w:t>Importe: [IMPORTE LIQUIDADO] euros</w:t>
      </w:r>
      <w:r>
        <w:t>.</w:t>
      </w:r>
    </w:p>
    <w:p w:rsidR="00E04355" w:rsidRDefault="00E04355" w:rsidP="00E04355">
      <w:pPr>
        <w:pStyle w:val="Prrafodelista"/>
        <w:numPr>
          <w:ilvl w:val="0"/>
          <w:numId w:val="19"/>
        </w:numPr>
      </w:pPr>
      <w:r w:rsidRPr="00E04355">
        <w:t>Fecha de pago: [FECHA EN LA QUE SE ABONÓ LA TASA]</w:t>
      </w:r>
      <w:r>
        <w:t>.</w:t>
      </w:r>
    </w:p>
    <w:p w:rsidR="00E04355" w:rsidRDefault="00E04355" w:rsidP="00E04355">
      <w:pPr>
        <w:pStyle w:val="Prrafodelista"/>
        <w:numPr>
          <w:ilvl w:val="0"/>
          <w:numId w:val="19"/>
        </w:numPr>
      </w:pPr>
      <w:r w:rsidRPr="00E04355">
        <w:t>Inmueble: [DIRECCIÓN POSTAL DEL INMUEBLE Y SI SE CONOCE LA REFERENCIA CATASTRAL].</w:t>
      </w:r>
    </w:p>
    <w:p w:rsidR="00BF087E" w:rsidRDefault="00E04355" w:rsidP="00BF087E">
      <w:pPr>
        <w:jc w:val="both"/>
      </w:pPr>
      <w:r w:rsidRPr="00BF087E">
        <w:rPr>
          <w:b/>
        </w:rPr>
        <w:t>Segundo</w:t>
      </w:r>
      <w:r w:rsidRPr="00E04355">
        <w:t>.- La referida liquidación fue aprobada en aplicación de la Ordenanza Fiscal 8/2024, de 23 de diciembre, reguladora de la Tasa por prestación del servicio de gestión de residuos de competencia municipal.</w:t>
      </w:r>
    </w:p>
    <w:p w:rsidR="00BF087E" w:rsidRDefault="00E04355" w:rsidP="00BF087E">
      <w:pPr>
        <w:jc w:val="both"/>
      </w:pPr>
      <w:r w:rsidRPr="00BF087E">
        <w:rPr>
          <w:b/>
        </w:rPr>
        <w:t>Tercero</w:t>
      </w:r>
      <w:r w:rsidRPr="00E04355">
        <w:t>.- La Sala de lo Contencioso-Administrativo del Tribunal Superior de Justicia de Madrid, Sección Novena, en su Sentencia nº 188, de 20 de marzo de 2026, recaída en el Procedimiento Ordinario 178/2025, ha declarado la nulidad de pleno derecho de la citada Ordenanza Fiscal 8/2024, con todos los efectos inherentes a esta declaración”. La sentencia aprecia, en esencia, que durante el trámite de información pública no se publicó íntegramente el informe técnico-económico, al omitirse el Anexo 6, y que dicha omisión afectó al núcleo fundamental de la justificación del tributo.</w:t>
      </w:r>
    </w:p>
    <w:p w:rsidR="00BF087E" w:rsidRDefault="00E04355" w:rsidP="00BF087E">
      <w:pPr>
        <w:jc w:val="both"/>
      </w:pPr>
      <w:r w:rsidRPr="00BF087E">
        <w:rPr>
          <w:b/>
        </w:rPr>
        <w:t>Cuarto</w:t>
      </w:r>
      <w:r w:rsidRPr="00E04355">
        <w:t>.- Una vez alcanzada la firmeza de la citada resolución judicial, la liquidación cuya revisión se interesa queda desprovista de cobertura normativa válida, al haber sido dictada en aplicación directa de una disposición general declarada nula de pleno derecho.</w:t>
      </w:r>
    </w:p>
    <w:p w:rsidR="00BF087E" w:rsidRDefault="00E04355" w:rsidP="00BF087E">
      <w:pPr>
        <w:jc w:val="both"/>
      </w:pPr>
      <w:r w:rsidRPr="00BF087E">
        <w:rPr>
          <w:b/>
        </w:rPr>
        <w:lastRenderedPageBreak/>
        <w:t>Quinto</w:t>
      </w:r>
      <w:r w:rsidRPr="00E04355">
        <w:t>.- El obligado tributario abonó la liquidación en la fecha antes indicada, produciéndose un ingreso a favor de la Hacienda municipal que, tras la nulidad radical de la disposición de cobertura, carece de fundamento jurídico bastante.</w:t>
      </w:r>
    </w:p>
    <w:p w:rsidR="00BF087E" w:rsidRPr="00BF087E" w:rsidRDefault="00E04355" w:rsidP="00BF087E">
      <w:pPr>
        <w:jc w:val="center"/>
        <w:rPr>
          <w:b/>
        </w:rPr>
      </w:pPr>
      <w:r w:rsidRPr="00BF087E">
        <w:rPr>
          <w:b/>
        </w:rPr>
        <w:t>FUNDAMENTOS DE DERECHO</w:t>
      </w:r>
    </w:p>
    <w:p w:rsidR="00BF087E" w:rsidRDefault="00E04355" w:rsidP="00BF087E">
      <w:pPr>
        <w:jc w:val="both"/>
      </w:pPr>
      <w:r w:rsidRPr="0093742F">
        <w:rPr>
          <w:b/>
        </w:rPr>
        <w:t>I</w:t>
      </w:r>
      <w:r w:rsidRPr="00E04355">
        <w:t>. Jurisdicción, competencia y procedimiento. La presente solicitud se formula al amparo de los artículos 216, 217, 219, 221 y concordantes de la Ley General Tributaria, así como del artículo 87 de la Ordenanza Fiscal 13/2021, General de Gestión, Recaudación e Inspección del Ayuntamiento de Madrid. El artículo 217 LGT regula la revisión de actos firmes nulos de pleno derecho; el artículo 219 LGT prevé la revocación de actos en beneficio de los interesados; y el artículo 221 LGT contempla la devolución de ingresos indebidos en conexión con los procedimientos de revisión.</w:t>
      </w:r>
    </w:p>
    <w:p w:rsidR="0093742F" w:rsidRDefault="00E04355" w:rsidP="0093742F">
      <w:pPr>
        <w:spacing w:after="0"/>
        <w:jc w:val="both"/>
      </w:pPr>
      <w:r w:rsidRPr="0093742F">
        <w:rPr>
          <w:b/>
        </w:rPr>
        <w:t>II</w:t>
      </w:r>
      <w:r w:rsidRPr="00E04355">
        <w:t>. Procedencia principal de la declaración de nulidad de pleno derecho de la liquidación.</w:t>
      </w:r>
    </w:p>
    <w:p w:rsidR="0093742F" w:rsidRDefault="0093742F" w:rsidP="0093742F">
      <w:pPr>
        <w:spacing w:after="0"/>
        <w:jc w:val="both"/>
      </w:pPr>
      <w:r>
        <w:t>L</w:t>
      </w:r>
      <w:r w:rsidR="00E04355" w:rsidRPr="00E04355">
        <w:t>a liquidación aquí cuestionada trae causa inmediata y directa de la Ordenanza Fiscal 8/2024, disposición general que ha sido declarada judicialmente nula de pleno derecho. No se está ante una irregularidad menor, sino ante la expulsión del ordenamiento de la propia norma de cobertura por un vicio esencial en su procedimiento de elaboración. La sentencia razona expresamente que el Anexo 6 omitido no era una información accesoria, sino un elemento nuclear para conocer y justificar la atribución de residuos y la determinación de la parte variable de la cuota.</w:t>
      </w:r>
    </w:p>
    <w:p w:rsidR="0093742F" w:rsidRDefault="00E04355" w:rsidP="0093742F">
      <w:pPr>
        <w:spacing w:after="0"/>
        <w:jc w:val="both"/>
      </w:pPr>
      <w:r w:rsidRPr="00E04355">
        <w:t>Desde esta perspectiva, mantener incólume una liquidación individual dictada exclusivamente al amparo de una disposición general nula de pleno derecho resulta incompatible con el principio de legalidad tributaria y con la exigencia de sometimiento pleno de la Administración a la ley y al Derecho. La invalidez radical de la norma de cobertura proyecta necesariamente sus efectos sobre el acto aplicativo cuando éste no puede sostenerse por título jurídico autónomo.</w:t>
      </w:r>
    </w:p>
    <w:p w:rsidR="0093742F" w:rsidRDefault="00E04355" w:rsidP="0093742F">
      <w:pPr>
        <w:spacing w:after="0"/>
        <w:jc w:val="both"/>
      </w:pPr>
      <w:r w:rsidRPr="00E04355">
        <w:t>Debe tenerse en cuenta que la omisión del Anexo 6 del informe técnico</w:t>
      </w:r>
      <w:r w:rsidR="0093742F">
        <w:t>-e</w:t>
      </w:r>
      <w:r w:rsidRPr="00E04355">
        <w:t>conómico durante el trámite de información pública vació de contenido real y efectivo el derecho de participación ciudadana en los asuntos públicos, al privar a los interesados del conocimiento de un elemento esencial para comprender, valorar y controvertir la determinación de la carga tributaria. Dado que la liquidación cuya nulidad se interesa constituye la aplicación singular de una ordenanza nacida de esa lesión constitucional, concurre el supuesto del artículo 217.1.a) de la Ley General Tributaria, al lesionar el acto impugnado el derecho fundamental reconocido en el artículo 23 CE.</w:t>
      </w:r>
    </w:p>
    <w:p w:rsidR="0093742F" w:rsidRDefault="00E04355" w:rsidP="0093742F">
      <w:pPr>
        <w:spacing w:after="0"/>
        <w:jc w:val="both"/>
      </w:pPr>
      <w:r w:rsidRPr="00E04355">
        <w:t>Aunque la lesión del derecho fundamental se produce originariamente en el procedimiento de elaboración de la disposición general, dicha lesión no queda agotada en el plano abstracto de la ordenanza, sino que se proyecta sobre cada uno de los actos aplicativos que imponen al contribuyente una obligación patrimonial nacida de ese ejercicio viciado de la potestad tributaria.</w:t>
      </w:r>
    </w:p>
    <w:p w:rsidR="0093742F" w:rsidRDefault="00E04355" w:rsidP="0093742F">
      <w:pPr>
        <w:spacing w:after="0"/>
        <w:jc w:val="both"/>
      </w:pPr>
      <w:r w:rsidRPr="00E04355">
        <w:t>La liquidación aquí impugnada no es un acto autónomo o separable respecto de aquella infracción constitucional, sino su materialización singular. Es, en definitiva, el instrumento concreto mediante el cual se traslada al ciudadano una carga económica establecida por una norma reglamentaria cuyo proceso de formación lesionó el derecho de participación reconocido en el artículo 23 CE.</w:t>
      </w:r>
    </w:p>
    <w:p w:rsidR="0093742F" w:rsidRDefault="00E04355" w:rsidP="0093742F">
      <w:pPr>
        <w:spacing w:after="0"/>
        <w:jc w:val="both"/>
      </w:pPr>
      <w:r w:rsidRPr="00E04355">
        <w:t>Por ello, concurre el supuesto del artículo 217.1.a) LGT: el acto cuya revisión se interesa lesiona un derecho fundamental susceptible de amparo constitucional, al ser inseparable de una potestad normativa ejercida con vulneración de dicho derecho.</w:t>
      </w:r>
    </w:p>
    <w:p w:rsidR="0093742F" w:rsidRDefault="0093742F" w:rsidP="0093742F">
      <w:pPr>
        <w:spacing w:after="0"/>
        <w:jc w:val="both"/>
      </w:pPr>
    </w:p>
    <w:p w:rsidR="0093742F" w:rsidRDefault="00E04355" w:rsidP="0093742F">
      <w:pPr>
        <w:spacing w:after="0"/>
        <w:jc w:val="both"/>
        <w:rPr>
          <w:b/>
        </w:rPr>
      </w:pPr>
      <w:r w:rsidRPr="0093742F">
        <w:rPr>
          <w:b/>
        </w:rPr>
        <w:t>III. Subsidiariamente, procedencia de la revocación.</w:t>
      </w:r>
    </w:p>
    <w:p w:rsidR="0093742F" w:rsidRPr="0093742F" w:rsidRDefault="00E04355" w:rsidP="0093742F">
      <w:pPr>
        <w:spacing w:after="0"/>
        <w:jc w:val="both"/>
        <w:rPr>
          <w:b/>
        </w:rPr>
      </w:pPr>
      <w:r w:rsidRPr="00E04355">
        <w:lastRenderedPageBreak/>
        <w:t>Para el caso de que ese órgano no acogiera la pretensión principal de nulidad de pleno derecho, procede cuando menos promover la iniciación del procedimiento de revocación del artículo 219 LGT. El procedimiento de revocación se inicia de oficio, pero puede ser promovido por el interesado mediante escrito, facultad que se ejerce a través de esta petición.</w:t>
      </w:r>
    </w:p>
    <w:p w:rsidR="0093742F" w:rsidRDefault="00E04355" w:rsidP="0093742F">
      <w:pPr>
        <w:spacing w:before="120" w:after="0"/>
        <w:jc w:val="both"/>
      </w:pPr>
      <w:r w:rsidRPr="00E04355">
        <w:t>Procede en todo caso y subsidiariamente, la revocación de la liquidación al amparo del artículo 219 de la Ley General Tributaria, por concurrir una circunstancia sobrevenida que pone de manifiesto la improcedencia del acto dictado: la declaración judicial de nulidad de pleno derecho de la Ordenanza Fiscal 8/2024 de cuya aplicación directa trae causa la liquidación. Desde el momento en que la Administración conoce que la norma reglamentaria de cobertura ha sido expulsada del ordenamiento por un vicio esencial en su procedimiento de elaboración, la conservación del acto de gravamen deja de ser compatible con los principios de legalidad, seguridad jurídica y buena administración. Vulnera el principio de legalidad mantener una exacción individual cuya base normativa ha sido declarada radicalmente inválida; lesiona la seguridad jurídica preservar los efectos económicos de una disposición nula, generando una contradicción entre la invalidez de la norma y la pervivencia del gravamen; y se aparta de la buena administración retener un ingreso cuya improcedencia resulta ya objetivamente conocida, obligando al administrado a soportar las consecuencias patrimoniales de una actuación normativa viciada. La revocación no opera aquí como una medida graciable o de pura oportunidad, sino como el instrumento legalmente previsto para restaurar la conformidad del acto con el ordenamiento y evitar la subsistencia de un resultado materialmente injustificado.</w:t>
      </w:r>
    </w:p>
    <w:p w:rsidR="0093742F" w:rsidRDefault="00E04355" w:rsidP="0093742F">
      <w:pPr>
        <w:spacing w:before="120" w:after="0"/>
        <w:jc w:val="both"/>
      </w:pPr>
      <w:r w:rsidRPr="00E04355">
        <w:t>La Administración no puede ampararse en una concepción meramente defensiva de la firmeza para conservar un ingreso que sabe sustentado en una disposición nula de pleno derecho. Hacerlo supondría convertir la estabilidad formal del acto en un mecanismo de blindaje de una exacción materialmente carente de fundamento, resultado incompatible con la interdicción de la arbitrariedad de los poderes públicos.</w:t>
      </w:r>
    </w:p>
    <w:p w:rsidR="0093742F" w:rsidRPr="0093742F" w:rsidRDefault="00E04355" w:rsidP="0093742F">
      <w:pPr>
        <w:spacing w:before="120" w:after="0"/>
        <w:jc w:val="both"/>
      </w:pPr>
      <w:r w:rsidRPr="0093742F">
        <w:t>IV. Devolución del ingreso indebido e intereses de demora.</w:t>
      </w:r>
    </w:p>
    <w:p w:rsidR="001028E5" w:rsidRDefault="00E04355" w:rsidP="0093742F">
      <w:pPr>
        <w:spacing w:before="120" w:after="0"/>
        <w:jc w:val="both"/>
      </w:pPr>
      <w:r w:rsidRPr="00E04355">
        <w:t>La estimación de cualquiera de las dos vías anteriores debe llevar aparejado el reconocimiento del derecho a la devolución del importe abonado indebidamente, así como al abono de los intereses de demora desde la fecha del ingreso hasta la fecha en que se ordene el pago de la devolución. Así lo prevén los artículos 221 y 32.2 LGT y la regulación reglamentaria del procedimiento de devolución de ingresos indebidos.</w:t>
      </w:r>
    </w:p>
    <w:p w:rsidR="001028E5" w:rsidRDefault="00E04355" w:rsidP="0093742F">
      <w:pPr>
        <w:spacing w:before="120" w:after="0"/>
        <w:jc w:val="both"/>
      </w:pPr>
      <w:r w:rsidRPr="00E04355">
        <w:t>Por todo lo expuesto,</w:t>
      </w:r>
    </w:p>
    <w:p w:rsidR="001028E5" w:rsidRPr="001028E5" w:rsidRDefault="00E04355" w:rsidP="001028E5">
      <w:pPr>
        <w:spacing w:before="120" w:after="0"/>
        <w:jc w:val="center"/>
        <w:rPr>
          <w:b/>
        </w:rPr>
      </w:pPr>
      <w:r w:rsidRPr="001028E5">
        <w:rPr>
          <w:b/>
        </w:rPr>
        <w:t>SUPLICO AL ÓRGANO COMPETENTE</w:t>
      </w:r>
    </w:p>
    <w:p w:rsidR="001028E5" w:rsidRDefault="00E04355" w:rsidP="0093742F">
      <w:pPr>
        <w:spacing w:before="120" w:after="0"/>
        <w:jc w:val="both"/>
      </w:pPr>
      <w:r w:rsidRPr="00E04355">
        <w:t xml:space="preserve"> </w:t>
      </w:r>
      <w:r w:rsidRPr="001028E5">
        <w:rPr>
          <w:b/>
        </w:rPr>
        <w:t>Primero.-</w:t>
      </w:r>
      <w:r w:rsidRPr="00E04355">
        <w:t xml:space="preserve"> Que tenga por presentado este escrito y por formulada solicitud de revisión de la liquidación nº [NÚMERO DE LA LIQUIDACIÓN], correspondiente a la Tasa por prestación del servicio de gestión de residuos de competencia municipal.</w:t>
      </w:r>
    </w:p>
    <w:p w:rsidR="001028E5" w:rsidRDefault="00E04355" w:rsidP="0093742F">
      <w:pPr>
        <w:spacing w:before="120" w:after="0"/>
        <w:jc w:val="both"/>
      </w:pPr>
      <w:r w:rsidRPr="001028E5">
        <w:rPr>
          <w:b/>
        </w:rPr>
        <w:t>Segundo</w:t>
      </w:r>
      <w:r w:rsidRPr="00E04355">
        <w:t>.- Que acuerde la declaración de nulidad de pleno derecho de dicha liquidación, al amparo del artículo 217 de la Ley General Tributaria, por haber sido dictada en aplicación de la Ordenanza Fiscal 8/2024, declarada nula de pleno derecho por sentencia firme del Tribunal Superior de Justicia de Madrid.</w:t>
      </w:r>
    </w:p>
    <w:p w:rsidR="001028E5" w:rsidRDefault="00E04355" w:rsidP="0093742F">
      <w:pPr>
        <w:spacing w:before="120" w:after="0"/>
        <w:jc w:val="both"/>
      </w:pPr>
      <w:r w:rsidRPr="001028E5">
        <w:rPr>
          <w:b/>
        </w:rPr>
        <w:t>Tercero</w:t>
      </w:r>
      <w:r w:rsidRPr="00E04355">
        <w:t>.- Que subsidiariamente, para el caso de no estimarse la pretensión principal, tenga por promovida la iniciación del procedimiento de revocación previsto en el artículo 219 de la Ley General Tributaria y en el artículo 87 de la Ordenanza Fiscal 13/2021 y acuerde la revocación de la referida liquidación.</w:t>
      </w:r>
    </w:p>
    <w:p w:rsidR="001028E5" w:rsidRDefault="00E04355" w:rsidP="0093742F">
      <w:pPr>
        <w:spacing w:before="120" w:after="0"/>
        <w:jc w:val="both"/>
      </w:pPr>
      <w:r w:rsidRPr="001028E5">
        <w:rPr>
          <w:b/>
        </w:rPr>
        <w:lastRenderedPageBreak/>
        <w:t>Cuarto.-</w:t>
      </w:r>
      <w:r w:rsidRPr="00E04355">
        <w:t xml:space="preserve"> Que, como consecuencia de cualquiera de las dos vías anteriores, se reconozca el derecho del compareciente a la devolución del ingreso indebido por importe de [INCLUIR CANTIDAD ABONADA] euros, correspondiente a la cantidad satisfecha en virtud de la liquidación indicada, acordándose asimismo el abono de los intereses de demora devengados desde la fecha del ingreso hasta la fecha en que se ordene el pago de la devolución.</w:t>
      </w:r>
    </w:p>
    <w:p w:rsidR="001028E5" w:rsidRDefault="00E04355" w:rsidP="0093742F">
      <w:pPr>
        <w:spacing w:before="120" w:after="0"/>
        <w:jc w:val="both"/>
      </w:pPr>
      <w:r w:rsidRPr="001028E5">
        <w:rPr>
          <w:b/>
        </w:rPr>
        <w:t>OTROSÍ DIGO</w:t>
      </w:r>
    </w:p>
    <w:p w:rsidR="001028E5" w:rsidRDefault="00E04355" w:rsidP="0093742F">
      <w:pPr>
        <w:spacing w:before="120" w:after="0"/>
        <w:jc w:val="both"/>
      </w:pPr>
      <w:r w:rsidRPr="00E04355">
        <w:t>Que no se acompañan copias de la liquidación impugnada, el justificante del pago efectuado y de la Sentencia nº 188, de 20 de marzo de 2026, dictada por la Sección Novena de la Sala de lo Contencioso-Administrativo del Tribunal Superior de Justicia de Madrid por ser documentos que ya obran en poder de la Administración, ello en virtud del artículo 28.2 de la Ley 39/2015, de 1 de octubre, del Procedimiento Administrativo Común de las Administraciones Públicas.</w:t>
      </w:r>
    </w:p>
    <w:p w:rsidR="001028E5" w:rsidRDefault="001028E5" w:rsidP="0093742F">
      <w:pPr>
        <w:spacing w:before="120" w:after="0"/>
        <w:jc w:val="both"/>
      </w:pPr>
    </w:p>
    <w:p w:rsidR="001028E5" w:rsidRDefault="001028E5" w:rsidP="0093742F">
      <w:pPr>
        <w:spacing w:before="120" w:after="0"/>
        <w:jc w:val="both"/>
      </w:pPr>
      <w:r>
        <w:t>En Madrid, a [FECHA].</w:t>
      </w:r>
    </w:p>
    <w:p w:rsidR="001028E5" w:rsidRDefault="001028E5" w:rsidP="0093742F">
      <w:pPr>
        <w:spacing w:before="120" w:after="0"/>
        <w:jc w:val="both"/>
      </w:pPr>
    </w:p>
    <w:p w:rsidR="001028E5" w:rsidRDefault="001028E5" w:rsidP="0093742F">
      <w:pPr>
        <w:spacing w:before="120" w:after="0"/>
        <w:jc w:val="both"/>
      </w:pPr>
    </w:p>
    <w:p w:rsidR="00202D7B" w:rsidRDefault="00E04355" w:rsidP="0093742F">
      <w:pPr>
        <w:spacing w:before="120" w:after="0"/>
        <w:jc w:val="both"/>
      </w:pPr>
      <w:r w:rsidRPr="00E04355">
        <w:t>Fdo.: [NOMBRE Y APELLIDOS]</w:t>
      </w:r>
    </w:p>
    <w:p w:rsidR="001028E5" w:rsidRDefault="001028E5" w:rsidP="0093742F">
      <w:pPr>
        <w:spacing w:before="120" w:after="0"/>
        <w:jc w:val="both"/>
      </w:pPr>
    </w:p>
    <w:p w:rsidR="001028E5" w:rsidRPr="00766E46" w:rsidRDefault="001028E5" w:rsidP="0093742F">
      <w:pPr>
        <w:spacing w:before="120" w:after="0"/>
        <w:jc w:val="both"/>
      </w:pPr>
      <w:bookmarkStart w:id="0" w:name="_GoBack"/>
      <w:bookmarkEnd w:id="0"/>
    </w:p>
    <w:sectPr w:rsidR="001028E5" w:rsidRPr="00766E46" w:rsidSect="00BF087E">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A58C4"/>
    <w:multiLevelType w:val="multilevel"/>
    <w:tmpl w:val="5FCA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40E1E"/>
    <w:multiLevelType w:val="multilevel"/>
    <w:tmpl w:val="B22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95A36"/>
    <w:multiLevelType w:val="multilevel"/>
    <w:tmpl w:val="3E9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428A7"/>
    <w:multiLevelType w:val="multilevel"/>
    <w:tmpl w:val="AFD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253BF"/>
    <w:multiLevelType w:val="hybridMultilevel"/>
    <w:tmpl w:val="5F3042CC"/>
    <w:lvl w:ilvl="0" w:tplc="19E4938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E61DCE"/>
    <w:multiLevelType w:val="multilevel"/>
    <w:tmpl w:val="397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91533"/>
    <w:multiLevelType w:val="multilevel"/>
    <w:tmpl w:val="D47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0798D"/>
    <w:multiLevelType w:val="multilevel"/>
    <w:tmpl w:val="CC78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A2EFD"/>
    <w:multiLevelType w:val="hybridMultilevel"/>
    <w:tmpl w:val="C82609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A9F31DC"/>
    <w:multiLevelType w:val="multilevel"/>
    <w:tmpl w:val="1DA6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22C6D"/>
    <w:multiLevelType w:val="multilevel"/>
    <w:tmpl w:val="1D5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43011D"/>
    <w:multiLevelType w:val="multilevel"/>
    <w:tmpl w:val="B3B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E3933"/>
    <w:multiLevelType w:val="multilevel"/>
    <w:tmpl w:val="3A4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0C0AD7"/>
    <w:multiLevelType w:val="multilevel"/>
    <w:tmpl w:val="F24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A60476"/>
    <w:multiLevelType w:val="multilevel"/>
    <w:tmpl w:val="9BAA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230B15"/>
    <w:multiLevelType w:val="multilevel"/>
    <w:tmpl w:val="867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12ED4"/>
    <w:multiLevelType w:val="multilevel"/>
    <w:tmpl w:val="57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F1624"/>
    <w:multiLevelType w:val="multilevel"/>
    <w:tmpl w:val="41DA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217A85"/>
    <w:multiLevelType w:val="multilevel"/>
    <w:tmpl w:val="282A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5"/>
  </w:num>
  <w:num w:numId="4">
    <w:abstractNumId w:val="16"/>
  </w:num>
  <w:num w:numId="5">
    <w:abstractNumId w:val="11"/>
  </w:num>
  <w:num w:numId="6">
    <w:abstractNumId w:val="6"/>
  </w:num>
  <w:num w:numId="7">
    <w:abstractNumId w:val="1"/>
  </w:num>
  <w:num w:numId="8">
    <w:abstractNumId w:val="0"/>
  </w:num>
  <w:num w:numId="9">
    <w:abstractNumId w:val="3"/>
  </w:num>
  <w:num w:numId="10">
    <w:abstractNumId w:val="13"/>
  </w:num>
  <w:num w:numId="11">
    <w:abstractNumId w:val="18"/>
  </w:num>
  <w:num w:numId="12">
    <w:abstractNumId w:val="2"/>
  </w:num>
  <w:num w:numId="13">
    <w:abstractNumId w:val="17"/>
  </w:num>
  <w:num w:numId="14">
    <w:abstractNumId w:val="14"/>
  </w:num>
  <w:num w:numId="15">
    <w:abstractNumId w:val="5"/>
  </w:num>
  <w:num w:numId="16">
    <w:abstractNumId w:val="12"/>
  </w:num>
  <w:num w:numId="17">
    <w:abstractNumId w:val="1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46"/>
    <w:rsid w:val="001028E5"/>
    <w:rsid w:val="00202D7B"/>
    <w:rsid w:val="0053378D"/>
    <w:rsid w:val="00766E46"/>
    <w:rsid w:val="008B2C66"/>
    <w:rsid w:val="0093742F"/>
    <w:rsid w:val="00A7559A"/>
    <w:rsid w:val="00BF087E"/>
    <w:rsid w:val="00E0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F02F7-25C0-4EBE-B6D6-B759B9FC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4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5284">
      <w:bodyDiv w:val="1"/>
      <w:marLeft w:val="0"/>
      <w:marRight w:val="0"/>
      <w:marTop w:val="0"/>
      <w:marBottom w:val="0"/>
      <w:divBdr>
        <w:top w:val="none" w:sz="0" w:space="0" w:color="auto"/>
        <w:left w:val="none" w:sz="0" w:space="0" w:color="auto"/>
        <w:bottom w:val="none" w:sz="0" w:space="0" w:color="auto"/>
        <w:right w:val="none" w:sz="0" w:space="0" w:color="auto"/>
      </w:divBdr>
      <w:divsChild>
        <w:div w:id="1046023990">
          <w:marLeft w:val="0"/>
          <w:marRight w:val="0"/>
          <w:marTop w:val="0"/>
          <w:marBottom w:val="0"/>
          <w:divBdr>
            <w:top w:val="none" w:sz="0" w:space="0" w:color="auto"/>
            <w:left w:val="none" w:sz="0" w:space="0" w:color="auto"/>
            <w:bottom w:val="none" w:sz="0" w:space="0" w:color="auto"/>
            <w:right w:val="none" w:sz="0" w:space="0" w:color="auto"/>
          </w:divBdr>
          <w:divsChild>
            <w:div w:id="1936279448">
              <w:marLeft w:val="0"/>
              <w:marRight w:val="0"/>
              <w:marTop w:val="0"/>
              <w:marBottom w:val="0"/>
              <w:divBdr>
                <w:top w:val="none" w:sz="0" w:space="0" w:color="auto"/>
                <w:left w:val="none" w:sz="0" w:space="0" w:color="auto"/>
                <w:bottom w:val="none" w:sz="0" w:space="0" w:color="auto"/>
                <w:right w:val="none" w:sz="0" w:space="0" w:color="auto"/>
              </w:divBdr>
              <w:divsChild>
                <w:div w:id="6183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1700</Words>
  <Characters>9355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2026-04-08T10:09:00Z</dcterms:created>
  <dcterms:modified xsi:type="dcterms:W3CDTF">2026-04-08T12:14:00Z</dcterms:modified>
</cp:coreProperties>
</file>